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7BC03" w14:textId="17458AE6" w:rsidR="007553C7" w:rsidRPr="000F198C" w:rsidRDefault="006D5F2A" w:rsidP="007553C7">
      <w:pPr>
        <w:rPr>
          <w:sz w:val="23"/>
          <w:szCs w:val="23"/>
        </w:rPr>
      </w:pPr>
      <w:r w:rsidRPr="000F198C">
        <w:rPr>
          <w:noProof/>
          <w:sz w:val="23"/>
          <w:szCs w:val="23"/>
        </w:rPr>
        <w:drawing>
          <wp:anchor distT="0" distB="0" distL="114300" distR="114300" simplePos="0" relativeHeight="251657216" behindDoc="0" locked="0" layoutInCell="1" allowOverlap="1" wp14:anchorId="0DF3886F" wp14:editId="6A16F51E">
            <wp:simplePos x="0" y="0"/>
            <wp:positionH relativeFrom="margin">
              <wp:align>right</wp:align>
            </wp:positionH>
            <wp:positionV relativeFrom="paragraph">
              <wp:posOffset>-469721</wp:posOffset>
            </wp:positionV>
            <wp:extent cx="1319428" cy="39737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tley-horizontal-st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428" cy="397379"/>
                    </a:xfrm>
                    <a:prstGeom prst="rect">
                      <a:avLst/>
                    </a:prstGeom>
                  </pic:spPr>
                </pic:pic>
              </a:graphicData>
            </a:graphic>
            <wp14:sizeRelH relativeFrom="page">
              <wp14:pctWidth>0</wp14:pctWidth>
            </wp14:sizeRelH>
            <wp14:sizeRelV relativeFrom="page">
              <wp14:pctHeight>0</wp14:pctHeight>
            </wp14:sizeRelV>
          </wp:anchor>
        </w:drawing>
      </w:r>
      <w:r w:rsidR="007553C7" w:rsidRPr="000F198C">
        <w:rPr>
          <w:i/>
          <w:iCs/>
          <w:sz w:val="23"/>
          <w:szCs w:val="23"/>
        </w:rPr>
        <w:t xml:space="preserve">Consider the “headwinds” to higher education discussed today and the four Strategic Assets and five Enabling Features of Bentley’s strategic plan. </w:t>
      </w:r>
    </w:p>
    <w:p w14:paraId="1B594599" w14:textId="50CC7CE7" w:rsidR="007553C7" w:rsidRPr="000F198C" w:rsidRDefault="007553C7" w:rsidP="007553C7">
      <w:pPr>
        <w:pStyle w:val="ListParagraph"/>
        <w:numPr>
          <w:ilvl w:val="0"/>
          <w:numId w:val="2"/>
        </w:numPr>
        <w:rPr>
          <w:sz w:val="23"/>
          <w:szCs w:val="23"/>
        </w:rPr>
      </w:pPr>
      <w:r w:rsidRPr="000F198C">
        <w:rPr>
          <w:sz w:val="23"/>
          <w:szCs w:val="23"/>
        </w:rPr>
        <w:t>Can you identify pockets of strength and opportunity within our organization that will contribute positively towards Bentley’s reinvention? (Hint: this can be something outside of your area of work or expertise, we’d like people to identify offices, actions, tactics, groups or trends that you think will be critical for the implementation of our strategic plan)</w:t>
      </w:r>
    </w:p>
    <w:p w14:paraId="3E65F940" w14:textId="38EC5F71" w:rsidR="007553C7" w:rsidRPr="000F198C" w:rsidRDefault="007553C7" w:rsidP="007553C7">
      <w:pPr>
        <w:rPr>
          <w:sz w:val="23"/>
          <w:szCs w:val="23"/>
        </w:rPr>
      </w:pPr>
    </w:p>
    <w:p w14:paraId="51F773A7" w14:textId="419B047D" w:rsidR="007553C7" w:rsidRPr="000F198C" w:rsidRDefault="007553C7" w:rsidP="007553C7">
      <w:pPr>
        <w:rPr>
          <w:sz w:val="23"/>
          <w:szCs w:val="23"/>
        </w:rPr>
      </w:pPr>
    </w:p>
    <w:p w14:paraId="7307F983" w14:textId="77777777" w:rsidR="00700EC8" w:rsidRPr="000F198C" w:rsidRDefault="00700EC8" w:rsidP="007553C7">
      <w:pPr>
        <w:rPr>
          <w:sz w:val="23"/>
          <w:szCs w:val="23"/>
        </w:rPr>
      </w:pPr>
    </w:p>
    <w:p w14:paraId="683AE8B2" w14:textId="1AD06AC4" w:rsidR="007553C7" w:rsidRPr="000F198C" w:rsidRDefault="007553C7" w:rsidP="007553C7">
      <w:pPr>
        <w:rPr>
          <w:sz w:val="23"/>
          <w:szCs w:val="23"/>
        </w:rPr>
      </w:pPr>
    </w:p>
    <w:p w14:paraId="45C1F02D" w14:textId="77777777" w:rsidR="007553C7" w:rsidRPr="000F198C" w:rsidRDefault="007553C7" w:rsidP="007553C7">
      <w:pPr>
        <w:rPr>
          <w:sz w:val="23"/>
          <w:szCs w:val="23"/>
        </w:rPr>
      </w:pPr>
    </w:p>
    <w:p w14:paraId="3CAF2D56" w14:textId="5CD18B22" w:rsidR="00846965" w:rsidRPr="000F198C" w:rsidRDefault="007553C7" w:rsidP="00846965">
      <w:pPr>
        <w:pStyle w:val="ListParagraph"/>
        <w:numPr>
          <w:ilvl w:val="0"/>
          <w:numId w:val="2"/>
        </w:numPr>
        <w:rPr>
          <w:sz w:val="23"/>
          <w:szCs w:val="23"/>
        </w:rPr>
      </w:pPr>
      <w:r w:rsidRPr="000F198C">
        <w:rPr>
          <w:sz w:val="23"/>
          <w:szCs w:val="23"/>
        </w:rPr>
        <w:t xml:space="preserve">Identify what </w:t>
      </w:r>
      <w:r w:rsidRPr="000F198C">
        <w:rPr>
          <w:b/>
          <w:sz w:val="23"/>
          <w:szCs w:val="23"/>
        </w:rPr>
        <w:t xml:space="preserve">you can do as an individual </w:t>
      </w:r>
      <w:r w:rsidRPr="000F198C">
        <w:rPr>
          <w:sz w:val="23"/>
          <w:szCs w:val="23"/>
        </w:rPr>
        <w:t>to contribute to Bentley’s reinvention (see examples in presentation)</w:t>
      </w:r>
      <w:r w:rsidR="00CE4A20" w:rsidRPr="000F198C">
        <w:rPr>
          <w:sz w:val="23"/>
          <w:szCs w:val="23"/>
        </w:rPr>
        <w:t>.</w:t>
      </w:r>
      <w:r w:rsidR="00846965" w:rsidRPr="000F198C">
        <w:rPr>
          <w:sz w:val="23"/>
          <w:szCs w:val="23"/>
        </w:rPr>
        <w:t xml:space="preserve"> As you brainstorm c</w:t>
      </w:r>
      <w:r w:rsidR="001809A8" w:rsidRPr="000F198C">
        <w:rPr>
          <w:sz w:val="23"/>
          <w:szCs w:val="23"/>
        </w:rPr>
        <w:t>onsider the following questions then write your commitment in the space below.</w:t>
      </w:r>
    </w:p>
    <w:p w14:paraId="1C67E9F6" w14:textId="43331963" w:rsidR="00846965" w:rsidRPr="000F198C" w:rsidRDefault="00846965" w:rsidP="00846965">
      <w:pPr>
        <w:pStyle w:val="ListParagraph"/>
        <w:numPr>
          <w:ilvl w:val="1"/>
          <w:numId w:val="2"/>
        </w:numPr>
        <w:rPr>
          <w:sz w:val="23"/>
          <w:szCs w:val="23"/>
        </w:rPr>
      </w:pPr>
      <w:r w:rsidRPr="000F198C">
        <w:rPr>
          <w:sz w:val="23"/>
          <w:szCs w:val="23"/>
        </w:rPr>
        <w:t>What current activities should I do more of?</w:t>
      </w:r>
    </w:p>
    <w:p w14:paraId="111DC790" w14:textId="176A0534" w:rsidR="00846965" w:rsidRPr="000F198C" w:rsidRDefault="00846965" w:rsidP="00846965">
      <w:pPr>
        <w:pStyle w:val="ListParagraph"/>
        <w:numPr>
          <w:ilvl w:val="1"/>
          <w:numId w:val="2"/>
        </w:numPr>
        <w:rPr>
          <w:sz w:val="23"/>
          <w:szCs w:val="23"/>
        </w:rPr>
      </w:pPr>
      <w:r w:rsidRPr="000F198C">
        <w:rPr>
          <w:sz w:val="23"/>
          <w:szCs w:val="23"/>
        </w:rPr>
        <w:t>What new activities should I start doing?</w:t>
      </w:r>
    </w:p>
    <w:p w14:paraId="6B42AA84" w14:textId="09216EC3" w:rsidR="00846965" w:rsidRPr="000F198C" w:rsidRDefault="3B2AADC6" w:rsidP="001809A8">
      <w:pPr>
        <w:pStyle w:val="ListParagraph"/>
        <w:numPr>
          <w:ilvl w:val="1"/>
          <w:numId w:val="2"/>
        </w:numPr>
        <w:rPr>
          <w:sz w:val="23"/>
          <w:szCs w:val="23"/>
        </w:rPr>
      </w:pPr>
      <w:r w:rsidRPr="000F198C">
        <w:rPr>
          <w:sz w:val="23"/>
          <w:szCs w:val="23"/>
        </w:rPr>
        <w:t xml:space="preserve">What </w:t>
      </w:r>
      <w:r w:rsidR="609F23F0" w:rsidRPr="000F198C">
        <w:rPr>
          <w:sz w:val="23"/>
          <w:szCs w:val="23"/>
        </w:rPr>
        <w:t xml:space="preserve">existing activities </w:t>
      </w:r>
      <w:r w:rsidR="0D28B985" w:rsidRPr="000F198C">
        <w:rPr>
          <w:sz w:val="23"/>
          <w:szCs w:val="23"/>
        </w:rPr>
        <w:t xml:space="preserve">is my department </w:t>
      </w:r>
      <w:r w:rsidR="001809A8" w:rsidRPr="000F198C">
        <w:rPr>
          <w:sz w:val="23"/>
          <w:szCs w:val="23"/>
        </w:rPr>
        <w:t>spending time on</w:t>
      </w:r>
      <w:r w:rsidR="0D28B985" w:rsidRPr="000F198C">
        <w:rPr>
          <w:sz w:val="23"/>
          <w:szCs w:val="23"/>
        </w:rPr>
        <w:t xml:space="preserve"> that </w:t>
      </w:r>
      <w:r w:rsidR="609F23F0" w:rsidRPr="000F198C">
        <w:rPr>
          <w:sz w:val="23"/>
          <w:szCs w:val="23"/>
        </w:rPr>
        <w:t>are no</w:t>
      </w:r>
      <w:r w:rsidR="001809A8" w:rsidRPr="000F198C">
        <w:rPr>
          <w:sz w:val="23"/>
          <w:szCs w:val="23"/>
        </w:rPr>
        <w:t>t</w:t>
      </w:r>
      <w:r w:rsidR="609F23F0" w:rsidRPr="000F198C">
        <w:rPr>
          <w:sz w:val="23"/>
          <w:szCs w:val="23"/>
        </w:rPr>
        <w:t xml:space="preserve"> in support of </w:t>
      </w:r>
      <w:r w:rsidR="001809A8" w:rsidRPr="000F198C">
        <w:rPr>
          <w:sz w:val="23"/>
          <w:szCs w:val="23"/>
        </w:rPr>
        <w:t xml:space="preserve">the </w:t>
      </w:r>
      <w:r w:rsidR="609F23F0" w:rsidRPr="000F198C">
        <w:rPr>
          <w:sz w:val="23"/>
          <w:szCs w:val="23"/>
        </w:rPr>
        <w:t>strategic plan</w:t>
      </w:r>
      <w:r w:rsidR="0D28B985" w:rsidRPr="000F198C">
        <w:rPr>
          <w:sz w:val="23"/>
          <w:szCs w:val="23"/>
        </w:rPr>
        <w:t xml:space="preserve"> and can be deemphasized to focus on </w:t>
      </w:r>
      <w:r w:rsidR="001809A8" w:rsidRPr="000F198C">
        <w:rPr>
          <w:sz w:val="23"/>
          <w:szCs w:val="23"/>
        </w:rPr>
        <w:t xml:space="preserve">the </w:t>
      </w:r>
      <w:r w:rsidR="0D28B985" w:rsidRPr="000F198C">
        <w:rPr>
          <w:sz w:val="23"/>
          <w:szCs w:val="23"/>
        </w:rPr>
        <w:t>new act</w:t>
      </w:r>
      <w:r w:rsidR="0A580FA6" w:rsidRPr="000F198C">
        <w:rPr>
          <w:sz w:val="23"/>
          <w:szCs w:val="23"/>
        </w:rPr>
        <w:t>ivities</w:t>
      </w:r>
      <w:r w:rsidR="001809A8" w:rsidRPr="000F198C">
        <w:rPr>
          <w:sz w:val="23"/>
          <w:szCs w:val="23"/>
        </w:rPr>
        <w:t xml:space="preserve"> I’ve identified?</w:t>
      </w:r>
      <w:r w:rsidR="609F23F0" w:rsidRPr="000F198C">
        <w:rPr>
          <w:sz w:val="23"/>
          <w:szCs w:val="23"/>
        </w:rPr>
        <w:t xml:space="preserve"> </w:t>
      </w:r>
      <w:r w:rsidRPr="000F198C">
        <w:rPr>
          <w:sz w:val="23"/>
          <w:szCs w:val="23"/>
        </w:rPr>
        <w:t xml:space="preserve"> </w:t>
      </w:r>
    </w:p>
    <w:p w14:paraId="682006C5" w14:textId="22C90ECB" w:rsidR="007553C7" w:rsidRPr="000F198C" w:rsidRDefault="00CE4A20" w:rsidP="007553C7">
      <w:pPr>
        <w:ind w:left="720"/>
        <w:rPr>
          <w:b/>
          <w:sz w:val="28"/>
          <w:szCs w:val="28"/>
        </w:rPr>
      </w:pPr>
      <w:r w:rsidRPr="000F198C">
        <w:rPr>
          <w:b/>
          <w:sz w:val="28"/>
          <w:szCs w:val="28"/>
        </w:rPr>
        <w:t>I will contribute to the success of Bentley’s strategic plan by:</w:t>
      </w:r>
    </w:p>
    <w:p w14:paraId="38356A69" w14:textId="62A2D4AD" w:rsidR="007553C7" w:rsidRPr="000F198C" w:rsidRDefault="007553C7" w:rsidP="00700EC8">
      <w:pPr>
        <w:rPr>
          <w:sz w:val="23"/>
          <w:szCs w:val="23"/>
        </w:rPr>
      </w:pPr>
    </w:p>
    <w:p w14:paraId="1BC5E6A3" w14:textId="77777777" w:rsidR="001809A8" w:rsidRPr="000F198C" w:rsidRDefault="001809A8" w:rsidP="00700EC8">
      <w:pPr>
        <w:rPr>
          <w:sz w:val="23"/>
          <w:szCs w:val="23"/>
        </w:rPr>
      </w:pPr>
    </w:p>
    <w:p w14:paraId="2AE3AF3F" w14:textId="6DD37649" w:rsidR="00CE4A20" w:rsidRPr="000F198C" w:rsidRDefault="00CE4A20" w:rsidP="00700EC8">
      <w:pPr>
        <w:rPr>
          <w:sz w:val="23"/>
          <w:szCs w:val="23"/>
        </w:rPr>
      </w:pPr>
    </w:p>
    <w:p w14:paraId="2A42029C" w14:textId="3B015267" w:rsidR="00CE4A20" w:rsidRPr="000F198C" w:rsidRDefault="00CE4A20" w:rsidP="00846965">
      <w:pPr>
        <w:rPr>
          <w:sz w:val="23"/>
          <w:szCs w:val="23"/>
        </w:rPr>
      </w:pPr>
    </w:p>
    <w:p w14:paraId="6D9ACB84" w14:textId="2D32E5C0" w:rsidR="77791C79" w:rsidRDefault="00CE4A20" w:rsidP="000F198C">
      <w:pPr>
        <w:pStyle w:val="ListParagraph"/>
        <w:numPr>
          <w:ilvl w:val="0"/>
          <w:numId w:val="2"/>
        </w:numPr>
        <w:rPr>
          <w:sz w:val="23"/>
          <w:szCs w:val="23"/>
        </w:rPr>
      </w:pPr>
      <w:r w:rsidRPr="000F198C">
        <w:rPr>
          <w:sz w:val="23"/>
          <w:szCs w:val="23"/>
        </w:rPr>
        <w:t xml:space="preserve">Circle </w:t>
      </w:r>
      <w:r w:rsidR="001809A8" w:rsidRPr="000F198C">
        <w:rPr>
          <w:sz w:val="23"/>
          <w:szCs w:val="23"/>
        </w:rPr>
        <w:t>the</w:t>
      </w:r>
      <w:r w:rsidR="1CF14A30" w:rsidRPr="000F198C">
        <w:rPr>
          <w:sz w:val="23"/>
          <w:szCs w:val="23"/>
        </w:rPr>
        <w:t xml:space="preserve"> </w:t>
      </w:r>
      <w:r w:rsidRPr="000F198C">
        <w:rPr>
          <w:sz w:val="23"/>
          <w:szCs w:val="23"/>
        </w:rPr>
        <w:t>strategic asset</w:t>
      </w:r>
      <w:r w:rsidR="19A048C0" w:rsidRPr="000F198C">
        <w:rPr>
          <w:sz w:val="23"/>
          <w:szCs w:val="23"/>
        </w:rPr>
        <w:t xml:space="preserve"> </w:t>
      </w:r>
      <w:r w:rsidR="001809A8" w:rsidRPr="000F198C">
        <w:rPr>
          <w:sz w:val="23"/>
          <w:szCs w:val="23"/>
        </w:rPr>
        <w:t>or</w:t>
      </w:r>
      <w:r w:rsidR="19A048C0" w:rsidRPr="000F198C">
        <w:rPr>
          <w:sz w:val="23"/>
          <w:szCs w:val="23"/>
        </w:rPr>
        <w:t xml:space="preserve"> enabling </w:t>
      </w:r>
      <w:r w:rsidR="1CF14A30" w:rsidRPr="000F198C">
        <w:rPr>
          <w:sz w:val="23"/>
          <w:szCs w:val="23"/>
        </w:rPr>
        <w:t>feature</w:t>
      </w:r>
      <w:r w:rsidRPr="000F198C">
        <w:rPr>
          <w:sz w:val="23"/>
          <w:szCs w:val="23"/>
        </w:rPr>
        <w:t xml:space="preserve"> </w:t>
      </w:r>
      <w:r w:rsidR="64E9F4CD" w:rsidRPr="000F198C">
        <w:rPr>
          <w:sz w:val="23"/>
          <w:szCs w:val="23"/>
        </w:rPr>
        <w:t>where you feel you</w:t>
      </w:r>
      <w:r w:rsidR="766B5F02" w:rsidRPr="000F198C">
        <w:rPr>
          <w:sz w:val="23"/>
          <w:szCs w:val="23"/>
        </w:rPr>
        <w:t>r</w:t>
      </w:r>
      <w:r w:rsidR="64E9F4CD" w:rsidRPr="000F198C">
        <w:rPr>
          <w:sz w:val="23"/>
          <w:szCs w:val="23"/>
        </w:rPr>
        <w:t xml:space="preserve"> c</w:t>
      </w:r>
      <w:r w:rsidR="766B5F02" w:rsidRPr="000F198C">
        <w:rPr>
          <w:sz w:val="23"/>
          <w:szCs w:val="23"/>
        </w:rPr>
        <w:t>ommitment will have</w:t>
      </w:r>
      <w:r w:rsidR="64E9F4CD" w:rsidRPr="000F198C">
        <w:rPr>
          <w:sz w:val="23"/>
          <w:szCs w:val="23"/>
        </w:rPr>
        <w:t xml:space="preserve"> the </w:t>
      </w:r>
      <w:r w:rsidR="0A213C10" w:rsidRPr="000F198C">
        <w:rPr>
          <w:sz w:val="23"/>
          <w:szCs w:val="23"/>
        </w:rPr>
        <w:t xml:space="preserve">greatest </w:t>
      </w:r>
      <w:r w:rsidR="766B5F02" w:rsidRPr="000F198C">
        <w:rPr>
          <w:sz w:val="23"/>
          <w:szCs w:val="23"/>
        </w:rPr>
        <w:t xml:space="preserve">impact. </w:t>
      </w:r>
    </w:p>
    <w:p w14:paraId="14A4CD98" w14:textId="77777777" w:rsidR="000F198C" w:rsidRPr="000F198C" w:rsidRDefault="000F198C" w:rsidP="000F198C">
      <w:pPr>
        <w:pStyle w:val="ListParagraph"/>
        <w:ind w:left="360"/>
        <w:rPr>
          <w:sz w:val="23"/>
          <w:szCs w:val="23"/>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09A8" w:rsidRPr="000F198C" w14:paraId="1628F630" w14:textId="77777777" w:rsidTr="001809A8">
        <w:tc>
          <w:tcPr>
            <w:tcW w:w="4675" w:type="dxa"/>
          </w:tcPr>
          <w:p w14:paraId="0F7196FD" w14:textId="38D094A7" w:rsidR="001809A8" w:rsidRPr="000F198C" w:rsidRDefault="001809A8" w:rsidP="001809A8">
            <w:pPr>
              <w:pStyle w:val="ListParagraph"/>
              <w:numPr>
                <w:ilvl w:val="0"/>
                <w:numId w:val="3"/>
              </w:numPr>
              <w:rPr>
                <w:sz w:val="23"/>
                <w:szCs w:val="23"/>
              </w:rPr>
            </w:pPr>
            <w:r w:rsidRPr="000F198C">
              <w:rPr>
                <w:sz w:val="23"/>
                <w:szCs w:val="23"/>
              </w:rPr>
              <w:t>Transformative Undergraduate Student Learning Experience</w:t>
            </w:r>
          </w:p>
          <w:p w14:paraId="34E3AEA0" w14:textId="77777777" w:rsidR="001809A8" w:rsidRPr="000F198C" w:rsidRDefault="001809A8" w:rsidP="001809A8">
            <w:pPr>
              <w:pStyle w:val="ListParagraph"/>
              <w:rPr>
                <w:sz w:val="23"/>
                <w:szCs w:val="23"/>
              </w:rPr>
            </w:pPr>
          </w:p>
          <w:p w14:paraId="13BA220F" w14:textId="1DAEEF71" w:rsidR="001809A8" w:rsidRPr="000F198C" w:rsidRDefault="001809A8" w:rsidP="001809A8">
            <w:pPr>
              <w:pStyle w:val="ListParagraph"/>
              <w:numPr>
                <w:ilvl w:val="0"/>
                <w:numId w:val="3"/>
              </w:numPr>
              <w:rPr>
                <w:sz w:val="23"/>
                <w:szCs w:val="23"/>
              </w:rPr>
            </w:pPr>
            <w:r w:rsidRPr="000F198C">
              <w:rPr>
                <w:sz w:val="23"/>
                <w:szCs w:val="23"/>
              </w:rPr>
              <w:t>Fully Integrated Corporate Relations</w:t>
            </w:r>
          </w:p>
          <w:p w14:paraId="5B24882F" w14:textId="77777777" w:rsidR="001809A8" w:rsidRPr="000F198C" w:rsidRDefault="001809A8" w:rsidP="001809A8">
            <w:pPr>
              <w:pStyle w:val="ListParagraph"/>
              <w:rPr>
                <w:sz w:val="23"/>
                <w:szCs w:val="23"/>
              </w:rPr>
            </w:pPr>
          </w:p>
          <w:p w14:paraId="66B94B20" w14:textId="23894D84" w:rsidR="001809A8" w:rsidRPr="000F198C" w:rsidRDefault="001809A8" w:rsidP="001809A8">
            <w:pPr>
              <w:pStyle w:val="ListParagraph"/>
              <w:numPr>
                <w:ilvl w:val="0"/>
                <w:numId w:val="3"/>
              </w:numPr>
              <w:rPr>
                <w:sz w:val="23"/>
                <w:szCs w:val="23"/>
              </w:rPr>
            </w:pPr>
            <w:r w:rsidRPr="000F198C">
              <w:rPr>
                <w:sz w:val="23"/>
                <w:szCs w:val="23"/>
              </w:rPr>
              <w:t>Distinctive Focal Points of Excellence</w:t>
            </w:r>
          </w:p>
          <w:p w14:paraId="656F7DA5" w14:textId="77777777" w:rsidR="001809A8" w:rsidRPr="000F198C" w:rsidRDefault="001809A8" w:rsidP="001809A8">
            <w:pPr>
              <w:pStyle w:val="ListParagraph"/>
              <w:rPr>
                <w:sz w:val="23"/>
                <w:szCs w:val="23"/>
              </w:rPr>
            </w:pPr>
          </w:p>
          <w:p w14:paraId="432AB9DC" w14:textId="5932ACC0" w:rsidR="001809A8" w:rsidRPr="000F198C" w:rsidRDefault="001809A8" w:rsidP="001809A8">
            <w:pPr>
              <w:pStyle w:val="ListParagraph"/>
              <w:numPr>
                <w:ilvl w:val="0"/>
                <w:numId w:val="3"/>
              </w:numPr>
              <w:rPr>
                <w:b/>
                <w:bCs/>
                <w:sz w:val="23"/>
                <w:szCs w:val="23"/>
              </w:rPr>
            </w:pPr>
            <w:r w:rsidRPr="000F198C">
              <w:rPr>
                <w:bCs/>
                <w:sz w:val="23"/>
                <w:szCs w:val="23"/>
              </w:rPr>
              <w:t>A New Vision for Mastery</w:t>
            </w:r>
          </w:p>
        </w:tc>
        <w:tc>
          <w:tcPr>
            <w:tcW w:w="4675" w:type="dxa"/>
          </w:tcPr>
          <w:p w14:paraId="76B5062B" w14:textId="6F26B111" w:rsidR="001809A8" w:rsidRPr="000F198C" w:rsidRDefault="001809A8" w:rsidP="001809A8">
            <w:pPr>
              <w:pStyle w:val="ListParagraph"/>
              <w:numPr>
                <w:ilvl w:val="0"/>
                <w:numId w:val="3"/>
              </w:numPr>
              <w:rPr>
                <w:sz w:val="23"/>
                <w:szCs w:val="23"/>
              </w:rPr>
            </w:pPr>
            <w:r w:rsidRPr="000F198C">
              <w:rPr>
                <w:sz w:val="23"/>
                <w:szCs w:val="23"/>
              </w:rPr>
              <w:t>Diversity and Inclusion</w:t>
            </w:r>
          </w:p>
          <w:p w14:paraId="3A63CE11" w14:textId="77777777" w:rsidR="001809A8" w:rsidRPr="000F198C" w:rsidRDefault="001809A8" w:rsidP="001809A8">
            <w:pPr>
              <w:pStyle w:val="ListParagraph"/>
              <w:rPr>
                <w:sz w:val="23"/>
                <w:szCs w:val="23"/>
              </w:rPr>
            </w:pPr>
          </w:p>
          <w:p w14:paraId="0E0FE131" w14:textId="21E52371" w:rsidR="001809A8" w:rsidRPr="000F198C" w:rsidRDefault="001809A8" w:rsidP="001809A8">
            <w:pPr>
              <w:pStyle w:val="ListParagraph"/>
              <w:numPr>
                <w:ilvl w:val="0"/>
                <w:numId w:val="3"/>
              </w:numPr>
              <w:rPr>
                <w:sz w:val="23"/>
                <w:szCs w:val="23"/>
              </w:rPr>
            </w:pPr>
            <w:r w:rsidRPr="000F198C">
              <w:rPr>
                <w:sz w:val="23"/>
                <w:szCs w:val="23"/>
              </w:rPr>
              <w:t>Organizational Culture</w:t>
            </w:r>
          </w:p>
          <w:p w14:paraId="6E8D618B" w14:textId="77777777" w:rsidR="001809A8" w:rsidRPr="000F198C" w:rsidRDefault="001809A8" w:rsidP="001809A8">
            <w:pPr>
              <w:pStyle w:val="ListParagraph"/>
              <w:rPr>
                <w:sz w:val="23"/>
                <w:szCs w:val="23"/>
              </w:rPr>
            </w:pPr>
          </w:p>
          <w:p w14:paraId="186B8B31" w14:textId="40E3F3E1" w:rsidR="001809A8" w:rsidRPr="000F198C" w:rsidRDefault="001809A8" w:rsidP="001809A8">
            <w:pPr>
              <w:pStyle w:val="ListParagraph"/>
              <w:numPr>
                <w:ilvl w:val="0"/>
                <w:numId w:val="3"/>
              </w:numPr>
              <w:rPr>
                <w:sz w:val="23"/>
                <w:szCs w:val="23"/>
              </w:rPr>
            </w:pPr>
            <w:r w:rsidRPr="000F198C">
              <w:rPr>
                <w:sz w:val="23"/>
                <w:szCs w:val="23"/>
              </w:rPr>
              <w:t>Long-Term Fiscal Health</w:t>
            </w:r>
          </w:p>
          <w:p w14:paraId="040FC540" w14:textId="77777777" w:rsidR="001809A8" w:rsidRPr="000F198C" w:rsidRDefault="001809A8" w:rsidP="001809A8">
            <w:pPr>
              <w:pStyle w:val="ListParagraph"/>
              <w:rPr>
                <w:sz w:val="23"/>
                <w:szCs w:val="23"/>
              </w:rPr>
            </w:pPr>
          </w:p>
          <w:p w14:paraId="17495CC7" w14:textId="5E9E170D" w:rsidR="001809A8" w:rsidRPr="000F198C" w:rsidRDefault="001809A8" w:rsidP="001809A8">
            <w:pPr>
              <w:pStyle w:val="ListParagraph"/>
              <w:numPr>
                <w:ilvl w:val="0"/>
                <w:numId w:val="3"/>
              </w:numPr>
              <w:rPr>
                <w:sz w:val="23"/>
                <w:szCs w:val="23"/>
              </w:rPr>
            </w:pPr>
            <w:r w:rsidRPr="000F198C">
              <w:rPr>
                <w:sz w:val="23"/>
                <w:szCs w:val="23"/>
              </w:rPr>
              <w:t>Technology and Strong Data Analytics</w:t>
            </w:r>
          </w:p>
          <w:p w14:paraId="71E72EC1" w14:textId="77777777" w:rsidR="001809A8" w:rsidRPr="000F198C" w:rsidRDefault="001809A8" w:rsidP="001809A8">
            <w:pPr>
              <w:pStyle w:val="ListParagraph"/>
              <w:rPr>
                <w:sz w:val="23"/>
                <w:szCs w:val="23"/>
              </w:rPr>
            </w:pPr>
          </w:p>
          <w:p w14:paraId="5929081C" w14:textId="289C828E" w:rsidR="001809A8" w:rsidRPr="000F198C" w:rsidRDefault="001809A8" w:rsidP="001809A8">
            <w:pPr>
              <w:pStyle w:val="ListParagraph"/>
              <w:numPr>
                <w:ilvl w:val="0"/>
                <w:numId w:val="3"/>
              </w:numPr>
              <w:rPr>
                <w:sz w:val="23"/>
                <w:szCs w:val="23"/>
              </w:rPr>
            </w:pPr>
            <w:r w:rsidRPr="000F198C">
              <w:rPr>
                <w:sz w:val="23"/>
                <w:szCs w:val="23"/>
              </w:rPr>
              <w:t xml:space="preserve">Brand &amp; Strategic Communication </w:t>
            </w:r>
          </w:p>
        </w:tc>
      </w:tr>
      <w:tr w:rsidR="001809A8" w14:paraId="02E3220E" w14:textId="77777777" w:rsidTr="001809A8">
        <w:tc>
          <w:tcPr>
            <w:tcW w:w="4675" w:type="dxa"/>
          </w:tcPr>
          <w:p w14:paraId="6AC34240" w14:textId="77777777" w:rsidR="001809A8" w:rsidRPr="001809A8" w:rsidRDefault="001809A8" w:rsidP="001809A8">
            <w:pPr>
              <w:pStyle w:val="ListParagraph"/>
              <w:rPr>
                <w:sz w:val="24"/>
                <w:szCs w:val="24"/>
              </w:rPr>
            </w:pPr>
          </w:p>
        </w:tc>
        <w:tc>
          <w:tcPr>
            <w:tcW w:w="4675" w:type="dxa"/>
          </w:tcPr>
          <w:p w14:paraId="5FD17E32" w14:textId="77777777" w:rsidR="001809A8" w:rsidRPr="001809A8" w:rsidRDefault="001809A8" w:rsidP="001809A8">
            <w:pPr>
              <w:pStyle w:val="ListParagraph"/>
              <w:rPr>
                <w:sz w:val="24"/>
                <w:szCs w:val="24"/>
              </w:rPr>
            </w:pPr>
          </w:p>
        </w:tc>
      </w:tr>
    </w:tbl>
    <w:p w14:paraId="060D9F1E" w14:textId="66620DE6" w:rsidR="00CE4A20" w:rsidRPr="001809A8" w:rsidRDefault="00CE4A20" w:rsidP="001809A8">
      <w:pPr>
        <w:rPr>
          <w:sz w:val="24"/>
          <w:szCs w:val="24"/>
        </w:rPr>
      </w:pPr>
    </w:p>
    <w:sectPr w:rsidR="00CE4A20" w:rsidRPr="001809A8" w:rsidSect="001809A8">
      <w:pgSz w:w="12240" w:h="15840"/>
      <w:pgMar w:top="1080" w:right="1080" w:bottom="1080" w:left="108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1AC807E" w16cid:durableId="3B160C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040"/>
    <w:multiLevelType w:val="hybridMultilevel"/>
    <w:tmpl w:val="BED0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82C56"/>
    <w:multiLevelType w:val="hybridMultilevel"/>
    <w:tmpl w:val="E506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0209B"/>
    <w:multiLevelType w:val="hybridMultilevel"/>
    <w:tmpl w:val="57641B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E0"/>
    <w:rsid w:val="000F198C"/>
    <w:rsid w:val="001144E5"/>
    <w:rsid w:val="001809A8"/>
    <w:rsid w:val="00402EC3"/>
    <w:rsid w:val="006D23E0"/>
    <w:rsid w:val="006D5F2A"/>
    <w:rsid w:val="00700EC8"/>
    <w:rsid w:val="007553C7"/>
    <w:rsid w:val="00846965"/>
    <w:rsid w:val="00AE3EB7"/>
    <w:rsid w:val="00B607F4"/>
    <w:rsid w:val="00C919F5"/>
    <w:rsid w:val="00CE4A20"/>
    <w:rsid w:val="00F15FC6"/>
    <w:rsid w:val="0A213C10"/>
    <w:rsid w:val="0A580FA6"/>
    <w:rsid w:val="0D28B985"/>
    <w:rsid w:val="19A048C0"/>
    <w:rsid w:val="1CF14A30"/>
    <w:rsid w:val="3B2AADC6"/>
    <w:rsid w:val="41AD2B94"/>
    <w:rsid w:val="57DDAE73"/>
    <w:rsid w:val="609F23F0"/>
    <w:rsid w:val="64E9F4CD"/>
    <w:rsid w:val="72CC4ACC"/>
    <w:rsid w:val="766B5F02"/>
    <w:rsid w:val="7779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1FC6"/>
  <w15:chartTrackingRefBased/>
  <w15:docId w15:val="{5E19C016-DA30-4D20-BBCD-6A0CED90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C7"/>
    <w:pPr>
      <w:ind w:left="720"/>
      <w:contextualSpacing/>
    </w:pPr>
  </w:style>
  <w:style w:type="character" w:styleId="CommentReference">
    <w:name w:val="annotation reference"/>
    <w:basedOn w:val="DefaultParagraphFont"/>
    <w:uiPriority w:val="99"/>
    <w:semiHidden/>
    <w:unhideWhenUsed/>
    <w:rsid w:val="00AE3EB7"/>
    <w:rPr>
      <w:sz w:val="16"/>
      <w:szCs w:val="16"/>
    </w:rPr>
  </w:style>
  <w:style w:type="paragraph" w:styleId="CommentText">
    <w:name w:val="annotation text"/>
    <w:basedOn w:val="Normal"/>
    <w:link w:val="CommentTextChar"/>
    <w:uiPriority w:val="99"/>
    <w:semiHidden/>
    <w:unhideWhenUsed/>
    <w:rsid w:val="00AE3EB7"/>
    <w:pPr>
      <w:spacing w:line="240" w:lineRule="auto"/>
    </w:pPr>
    <w:rPr>
      <w:sz w:val="20"/>
      <w:szCs w:val="20"/>
    </w:rPr>
  </w:style>
  <w:style w:type="character" w:customStyle="1" w:styleId="CommentTextChar">
    <w:name w:val="Comment Text Char"/>
    <w:basedOn w:val="DefaultParagraphFont"/>
    <w:link w:val="CommentText"/>
    <w:uiPriority w:val="99"/>
    <w:semiHidden/>
    <w:rsid w:val="00AE3EB7"/>
    <w:rPr>
      <w:sz w:val="20"/>
      <w:szCs w:val="20"/>
    </w:rPr>
  </w:style>
  <w:style w:type="paragraph" w:styleId="CommentSubject">
    <w:name w:val="annotation subject"/>
    <w:basedOn w:val="CommentText"/>
    <w:next w:val="CommentText"/>
    <w:link w:val="CommentSubjectChar"/>
    <w:uiPriority w:val="99"/>
    <w:semiHidden/>
    <w:unhideWhenUsed/>
    <w:rsid w:val="00AE3EB7"/>
    <w:rPr>
      <w:b/>
      <w:bCs/>
    </w:rPr>
  </w:style>
  <w:style w:type="character" w:customStyle="1" w:styleId="CommentSubjectChar">
    <w:name w:val="Comment Subject Char"/>
    <w:basedOn w:val="CommentTextChar"/>
    <w:link w:val="CommentSubject"/>
    <w:uiPriority w:val="99"/>
    <w:semiHidden/>
    <w:rsid w:val="00AE3EB7"/>
    <w:rPr>
      <w:b/>
      <w:bCs/>
      <w:sz w:val="20"/>
      <w:szCs w:val="20"/>
    </w:rPr>
  </w:style>
  <w:style w:type="paragraph" w:styleId="BalloonText">
    <w:name w:val="Balloon Text"/>
    <w:basedOn w:val="Normal"/>
    <w:link w:val="BalloonTextChar"/>
    <w:uiPriority w:val="99"/>
    <w:semiHidden/>
    <w:unhideWhenUsed/>
    <w:rsid w:val="00AE3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B7"/>
    <w:rPr>
      <w:rFonts w:ascii="Segoe UI" w:hAnsi="Segoe UI" w:cs="Segoe UI"/>
      <w:sz w:val="18"/>
      <w:szCs w:val="18"/>
    </w:rPr>
  </w:style>
  <w:style w:type="table" w:styleId="TableGrid">
    <w:name w:val="Table Grid"/>
    <w:basedOn w:val="TableNormal"/>
    <w:uiPriority w:val="39"/>
    <w:rsid w:val="0018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0729583c396a467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1A1ACDABF1CF43AED9EEBAF4BCAFB4" ma:contentTypeVersion="11" ma:contentTypeDescription="Create a new document." ma:contentTypeScope="" ma:versionID="33b11e25ebcb585385564f8dd3f9a53f">
  <xsd:schema xmlns:xsd="http://www.w3.org/2001/XMLSchema" xmlns:xs="http://www.w3.org/2001/XMLSchema" xmlns:p="http://schemas.microsoft.com/office/2006/metadata/properties" xmlns:ns2="5b6ed76f-f2b7-4897-a278-099db3da73df" xmlns:ns3="e8ed6134-5033-47d4-8138-0238abc01e04" targetNamespace="http://schemas.microsoft.com/office/2006/metadata/properties" ma:root="true" ma:fieldsID="64640f4b4a0f00a040938bdcddee10b2" ns2:_="" ns3:_="">
    <xsd:import namespace="5b6ed76f-f2b7-4897-a278-099db3da73df"/>
    <xsd:import namespace="e8ed6134-5033-47d4-8138-0238abc01e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ed76f-f2b7-4897-a278-099db3da7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d6134-5033-47d4-8138-0238abc01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038D-391E-4E2B-A5D7-948FB04FE47A}">
  <ds:schemaRefs>
    <ds:schemaRef ds:uri="http://schemas.microsoft.com/office/infopath/2007/PartnerControls"/>
    <ds:schemaRef ds:uri="e8ed6134-5033-47d4-8138-0238abc01e04"/>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5b6ed76f-f2b7-4897-a278-099db3da73df"/>
    <ds:schemaRef ds:uri="http://www.w3.org/XML/1998/namespace"/>
  </ds:schemaRefs>
</ds:datastoreItem>
</file>

<file path=customXml/itemProps2.xml><?xml version="1.0" encoding="utf-8"?>
<ds:datastoreItem xmlns:ds="http://schemas.openxmlformats.org/officeDocument/2006/customXml" ds:itemID="{857360CA-88C6-41A4-9FD3-304248B86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ed76f-f2b7-4897-a278-099db3da73df"/>
    <ds:schemaRef ds:uri="e8ed6134-5033-47d4-8138-0238abc01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A49E9-6DDB-4B30-B2B9-4C95290EC8EB}">
  <ds:schemaRefs>
    <ds:schemaRef ds:uri="http://schemas.microsoft.com/sharepoint/v3/contenttype/forms"/>
  </ds:schemaRefs>
</ds:datastoreItem>
</file>

<file path=customXml/itemProps4.xml><?xml version="1.0" encoding="utf-8"?>
<ds:datastoreItem xmlns:ds="http://schemas.openxmlformats.org/officeDocument/2006/customXml" ds:itemID="{5859D64A-D167-4C88-B000-45022803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Amanda</dc:creator>
  <cp:keywords/>
  <dc:description/>
  <cp:lastModifiedBy>King, Amanda</cp:lastModifiedBy>
  <cp:revision>17</cp:revision>
  <dcterms:created xsi:type="dcterms:W3CDTF">2019-09-22T20:33:00Z</dcterms:created>
  <dcterms:modified xsi:type="dcterms:W3CDTF">2019-09-24T19:20:00Z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0x010100C11A1ACDABF1CF43AED9EEBAF4BCAFB4</vt:lpwstr>
  </property>
</Properties>
</file>